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D7" w:rsidRPr="004842D7" w:rsidRDefault="004842D7" w:rsidP="004842D7">
      <w:pPr>
        <w:widowControl/>
        <w:spacing w:line="360" w:lineRule="auto"/>
        <w:jc w:val="center"/>
        <w:rPr>
          <w:rFonts w:ascii="仿宋_GB2312" w:eastAsia="仿宋_GB2312" w:hAnsi="仿宋" w:cs="仿宋"/>
          <w:b/>
          <w:kern w:val="0"/>
          <w:sz w:val="28"/>
          <w:szCs w:val="28"/>
        </w:rPr>
      </w:pPr>
      <w:bookmarkStart w:id="0" w:name="_GoBack"/>
      <w:bookmarkEnd w:id="0"/>
      <w:r w:rsidRPr="004842D7">
        <w:rPr>
          <w:rFonts w:ascii="仿宋_GB2312" w:eastAsia="仿宋_GB2312" w:hAnsi="仿宋" w:cs="仿宋" w:hint="eastAsia"/>
          <w:b/>
          <w:kern w:val="0"/>
          <w:sz w:val="28"/>
          <w:szCs w:val="28"/>
        </w:rPr>
        <w:t>南京审计大学本科生奖励评定办法</w:t>
      </w:r>
    </w:p>
    <w:p w:rsidR="004842D7" w:rsidRPr="004842D7" w:rsidRDefault="004842D7" w:rsidP="004842D7">
      <w:pPr>
        <w:widowControl/>
        <w:spacing w:line="360" w:lineRule="auto"/>
        <w:jc w:val="center"/>
        <w:rPr>
          <w:rFonts w:ascii="仿宋_GB2312" w:eastAsia="仿宋_GB2312" w:hAnsi="仿宋" w:cs="仿宋"/>
          <w:b/>
          <w:kern w:val="0"/>
          <w:sz w:val="28"/>
          <w:szCs w:val="28"/>
        </w:rPr>
      </w:pPr>
      <w:r w:rsidRPr="004842D7">
        <w:rPr>
          <w:rFonts w:ascii="仿宋_GB2312" w:eastAsia="仿宋_GB2312" w:hAnsi="仿宋" w:cs="仿宋" w:hint="eastAsia"/>
          <w:b/>
          <w:kern w:val="0"/>
          <w:sz w:val="28"/>
          <w:szCs w:val="28"/>
        </w:rPr>
        <w:t>(2017年修订)</w:t>
      </w:r>
    </w:p>
    <w:p w:rsidR="004842D7" w:rsidRPr="004842D7" w:rsidRDefault="004842D7" w:rsidP="004842D7">
      <w:pPr>
        <w:widowControl/>
        <w:spacing w:line="360" w:lineRule="auto"/>
        <w:jc w:val="center"/>
        <w:rPr>
          <w:rFonts w:ascii="仿宋_GB2312" w:eastAsia="仿宋_GB2312" w:hAnsi="仿宋" w:cs="仿宋"/>
          <w:b/>
          <w:kern w:val="0"/>
          <w:sz w:val="28"/>
          <w:szCs w:val="28"/>
        </w:rPr>
      </w:pPr>
      <w:r w:rsidRPr="004842D7">
        <w:rPr>
          <w:rFonts w:ascii="仿宋_GB2312" w:eastAsia="仿宋_GB2312" w:hAnsi="仿宋" w:cs="仿宋" w:hint="eastAsia"/>
          <w:b/>
          <w:kern w:val="0"/>
          <w:sz w:val="28"/>
          <w:szCs w:val="28"/>
        </w:rPr>
        <w:t>第一章  总  则</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第一条</w:t>
      </w:r>
      <w:r w:rsidRPr="004842D7">
        <w:rPr>
          <w:rFonts w:ascii="仿宋_GB2312" w:eastAsia="仿宋_GB2312" w:hAnsi="仿宋" w:cs="仿宋" w:hint="eastAsia"/>
          <w:kern w:val="0"/>
          <w:sz w:val="24"/>
          <w:szCs w:val="24"/>
        </w:rPr>
        <w:t xml:space="preserve">  为促进学生德、智、体、美全面发展，引导学生成长成才，以学生日常行为、学习、生活等方面的现实表现为基础，根据《南京审计大学本科生奖励条例（2017年修订）》，制定本办法。</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第二条</w:t>
      </w:r>
      <w:r w:rsidRPr="004842D7">
        <w:rPr>
          <w:rFonts w:ascii="仿宋_GB2312" w:eastAsia="仿宋_GB2312" w:hAnsi="仿宋" w:cs="仿宋" w:hint="eastAsia"/>
          <w:kern w:val="0"/>
          <w:sz w:val="24"/>
          <w:szCs w:val="24"/>
        </w:rPr>
        <w:t xml:space="preserve">  本办法适用于在我校学习的全日制本科学生和班级。</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第三条</w:t>
      </w:r>
      <w:r w:rsidRPr="004842D7">
        <w:rPr>
          <w:rFonts w:ascii="仿宋_GB2312" w:eastAsia="仿宋_GB2312" w:hAnsi="仿宋" w:cs="仿宋" w:hint="eastAsia"/>
          <w:kern w:val="0"/>
          <w:sz w:val="24"/>
          <w:szCs w:val="24"/>
        </w:rPr>
        <w:t xml:space="preserve">  奖学金的申请和评定遵循公开、公平、公正原则。</w:t>
      </w:r>
    </w:p>
    <w:p w:rsidR="004842D7" w:rsidRPr="004842D7" w:rsidRDefault="004842D7" w:rsidP="004842D7">
      <w:pPr>
        <w:widowControl/>
        <w:spacing w:line="276" w:lineRule="auto"/>
        <w:ind w:firstLineChars="1000" w:firstLine="2409"/>
        <w:jc w:val="left"/>
        <w:rPr>
          <w:rFonts w:ascii="仿宋_GB2312" w:eastAsia="仿宋_GB2312" w:hAnsi="仿宋" w:cs="仿宋"/>
          <w:b/>
          <w:kern w:val="0"/>
          <w:sz w:val="24"/>
          <w:szCs w:val="24"/>
        </w:rPr>
      </w:pPr>
    </w:p>
    <w:p w:rsidR="004842D7" w:rsidRPr="004842D7" w:rsidRDefault="004842D7" w:rsidP="004842D7">
      <w:pPr>
        <w:widowControl/>
        <w:spacing w:line="276" w:lineRule="auto"/>
        <w:ind w:firstLine="200"/>
        <w:jc w:val="center"/>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第二章  奖学金种类、申请条件</w:t>
      </w:r>
    </w:p>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第四条  </w:t>
      </w:r>
      <w:r w:rsidRPr="004842D7">
        <w:rPr>
          <w:rFonts w:ascii="仿宋_GB2312" w:eastAsia="仿宋_GB2312" w:hAnsi="仿宋" w:cs="仿宋" w:hint="eastAsia"/>
          <w:kern w:val="0"/>
          <w:sz w:val="24"/>
          <w:szCs w:val="24"/>
        </w:rPr>
        <w:t>学校各类奖学金项目、等级、金额和比例：</w:t>
      </w:r>
    </w:p>
    <w:tbl>
      <w:tblPr>
        <w:tblW w:w="6765"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55"/>
        <w:gridCol w:w="1417"/>
        <w:gridCol w:w="993"/>
        <w:gridCol w:w="1457"/>
        <w:gridCol w:w="1843"/>
      </w:tblGrid>
      <w:tr w:rsidR="004842D7" w:rsidRPr="004842D7" w:rsidTr="007D5BA8">
        <w:trPr>
          <w:trHeight w:val="332"/>
          <w:tblCellSpacing w:w="15" w:type="dxa"/>
          <w:jc w:val="center"/>
        </w:trPr>
        <w:tc>
          <w:tcPr>
            <w:tcW w:w="1010" w:type="dxa"/>
            <w:vAlign w:val="center"/>
          </w:tcPr>
          <w:p w:rsidR="004842D7" w:rsidRPr="004842D7" w:rsidRDefault="004842D7" w:rsidP="004842D7">
            <w:pPr>
              <w:widowControl/>
              <w:spacing w:line="276" w:lineRule="auto"/>
              <w:jc w:val="center"/>
              <w:rPr>
                <w:rFonts w:ascii="仿宋_GB2312" w:eastAsia="仿宋_GB2312" w:hAnsi="仿宋" w:cs="仿宋"/>
                <w:kern w:val="0"/>
                <w:szCs w:val="21"/>
              </w:rPr>
            </w:pPr>
            <w:r w:rsidRPr="004842D7">
              <w:rPr>
                <w:rFonts w:ascii="仿宋_GB2312" w:eastAsia="仿宋_GB2312" w:hAnsi="仿宋" w:cs="仿宋" w:hint="eastAsia"/>
                <w:kern w:val="0"/>
                <w:szCs w:val="21"/>
              </w:rPr>
              <w:t>类别</w:t>
            </w: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项目</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等</w:t>
            </w:r>
            <w:r w:rsidRPr="004842D7">
              <w:rPr>
                <w:rFonts w:ascii="仿宋_GB2312" w:eastAsia="仿宋_GB2312" w:hAnsi="宋体" w:cs="宋体" w:hint="eastAsia"/>
                <w:kern w:val="0"/>
                <w:szCs w:val="21"/>
              </w:rPr>
              <w:t>   </w:t>
            </w:r>
            <w:r w:rsidRPr="004842D7">
              <w:rPr>
                <w:rFonts w:ascii="仿宋_GB2312" w:eastAsia="仿宋_GB2312" w:hAnsi="仿宋" w:cs="仿宋" w:hint="eastAsia"/>
                <w:kern w:val="0"/>
                <w:szCs w:val="21"/>
              </w:rPr>
              <w:t>级</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奖励金额</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奖励比例</w:t>
            </w:r>
          </w:p>
        </w:tc>
      </w:tr>
      <w:tr w:rsidR="004842D7" w:rsidRPr="004842D7" w:rsidTr="007D5BA8">
        <w:trPr>
          <w:trHeight w:val="332"/>
          <w:tblCellSpacing w:w="15" w:type="dxa"/>
          <w:jc w:val="center"/>
        </w:trPr>
        <w:tc>
          <w:tcPr>
            <w:tcW w:w="1010" w:type="dxa"/>
            <w:vMerge w:val="restart"/>
            <w:vAlign w:val="center"/>
          </w:tcPr>
          <w:p w:rsidR="004842D7" w:rsidRPr="004842D7" w:rsidRDefault="004842D7" w:rsidP="004842D7">
            <w:pPr>
              <w:widowControl/>
              <w:spacing w:line="276" w:lineRule="auto"/>
              <w:jc w:val="center"/>
              <w:rPr>
                <w:rFonts w:ascii="仿宋_GB2312" w:eastAsia="仿宋_GB2312" w:hAnsi="仿宋" w:cs="仿宋"/>
                <w:kern w:val="0"/>
                <w:szCs w:val="21"/>
              </w:rPr>
            </w:pPr>
            <w:r w:rsidRPr="004842D7">
              <w:rPr>
                <w:rFonts w:ascii="仿宋_GB2312" w:eastAsia="仿宋_GB2312" w:hAnsi="仿宋" w:cs="仿宋" w:hint="eastAsia"/>
                <w:kern w:val="0"/>
                <w:szCs w:val="21"/>
              </w:rPr>
              <w:t>省级以上</w:t>
            </w:r>
          </w:p>
          <w:p w:rsidR="004842D7" w:rsidRPr="004842D7" w:rsidRDefault="004842D7" w:rsidP="004842D7">
            <w:pPr>
              <w:widowControl/>
              <w:spacing w:line="276" w:lineRule="auto"/>
              <w:jc w:val="center"/>
              <w:rPr>
                <w:rFonts w:ascii="仿宋_GB2312" w:eastAsia="仿宋_GB2312" w:hAnsi="仿宋" w:cs="仿宋"/>
                <w:kern w:val="0"/>
                <w:szCs w:val="21"/>
              </w:rPr>
            </w:pPr>
            <w:r w:rsidRPr="004842D7">
              <w:rPr>
                <w:rFonts w:ascii="仿宋_GB2312" w:eastAsia="仿宋_GB2312" w:hAnsi="仿宋" w:cs="仿宋" w:hint="eastAsia"/>
                <w:kern w:val="0"/>
                <w:szCs w:val="21"/>
              </w:rPr>
              <w:t>奖学金</w:t>
            </w: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国家奖学金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8000元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按教育厅规定比例</w:t>
            </w:r>
          </w:p>
        </w:tc>
      </w:tr>
      <w:tr w:rsidR="004842D7" w:rsidRPr="004842D7" w:rsidTr="007D5BA8">
        <w:trPr>
          <w:trHeight w:val="450"/>
          <w:tblCellSpacing w:w="15" w:type="dxa"/>
          <w:jc w:val="center"/>
        </w:trPr>
        <w:tc>
          <w:tcPr>
            <w:tcW w:w="1010" w:type="dxa"/>
            <w:vMerge/>
            <w:vAlign w:val="center"/>
          </w:tcPr>
          <w:p w:rsidR="004842D7" w:rsidRPr="004842D7" w:rsidRDefault="004842D7" w:rsidP="004842D7">
            <w:pPr>
              <w:widowControl/>
              <w:spacing w:line="276" w:lineRule="auto"/>
              <w:jc w:val="center"/>
              <w:rPr>
                <w:rFonts w:ascii="仿宋_GB2312" w:eastAsia="仿宋_GB2312" w:hAnsi="仿宋" w:cs="仿宋"/>
                <w:kern w:val="0"/>
                <w:szCs w:val="21"/>
              </w:rPr>
            </w:pP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审计长奖学金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10000元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每学年30人</w:t>
            </w:r>
          </w:p>
        </w:tc>
      </w:tr>
      <w:tr w:rsidR="004842D7" w:rsidRPr="004842D7" w:rsidTr="007D5BA8">
        <w:trPr>
          <w:trHeight w:val="450"/>
          <w:tblCellSpacing w:w="15" w:type="dxa"/>
          <w:jc w:val="center"/>
        </w:trPr>
        <w:tc>
          <w:tcPr>
            <w:tcW w:w="1010" w:type="dxa"/>
            <w:vMerge w:val="restart"/>
            <w:vAlign w:val="center"/>
          </w:tcPr>
          <w:p w:rsidR="004842D7" w:rsidRPr="004842D7" w:rsidRDefault="004842D7" w:rsidP="004842D7">
            <w:pPr>
              <w:widowControl/>
              <w:spacing w:line="276" w:lineRule="auto"/>
              <w:jc w:val="center"/>
              <w:rPr>
                <w:rFonts w:ascii="仿宋_GB2312" w:eastAsia="仿宋_GB2312" w:hAnsi="仿宋" w:cs="仿宋"/>
                <w:kern w:val="0"/>
                <w:szCs w:val="21"/>
              </w:rPr>
            </w:pPr>
            <w:r w:rsidRPr="004842D7">
              <w:rPr>
                <w:rFonts w:ascii="仿宋_GB2312" w:eastAsia="仿宋_GB2312" w:hAnsi="仿宋" w:cs="仿宋" w:hint="eastAsia"/>
                <w:kern w:val="0"/>
                <w:szCs w:val="21"/>
              </w:rPr>
              <w:t>校级</w:t>
            </w:r>
          </w:p>
          <w:p w:rsidR="004842D7" w:rsidRPr="004842D7" w:rsidRDefault="004842D7" w:rsidP="004842D7">
            <w:pPr>
              <w:widowControl/>
              <w:spacing w:line="276" w:lineRule="auto"/>
              <w:jc w:val="center"/>
              <w:rPr>
                <w:rFonts w:ascii="仿宋_GB2312" w:eastAsia="仿宋_GB2312" w:hAnsi="仿宋" w:cs="仿宋"/>
                <w:kern w:val="0"/>
                <w:szCs w:val="21"/>
              </w:rPr>
            </w:pPr>
            <w:r w:rsidRPr="004842D7">
              <w:rPr>
                <w:rFonts w:ascii="仿宋_GB2312" w:eastAsia="仿宋_GB2312" w:hAnsi="仿宋" w:cs="仿宋" w:hint="eastAsia"/>
                <w:kern w:val="0"/>
                <w:szCs w:val="21"/>
              </w:rPr>
              <w:t>奖学金</w:t>
            </w: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校长奖学金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427" w:type="dxa"/>
            <w:vAlign w:val="center"/>
          </w:tcPr>
          <w:p w:rsidR="004842D7" w:rsidRPr="004842D7" w:rsidRDefault="004842D7" w:rsidP="004842D7">
            <w:pPr>
              <w:widowControl/>
              <w:spacing w:line="276" w:lineRule="auto"/>
              <w:rPr>
                <w:rFonts w:ascii="仿宋_GB2312" w:eastAsia="仿宋_GB2312" w:hAnsi="仿宋" w:cs="仿宋"/>
                <w:kern w:val="0"/>
                <w:szCs w:val="21"/>
              </w:rPr>
            </w:pPr>
            <w:r w:rsidRPr="004842D7">
              <w:rPr>
                <w:rFonts w:ascii="仿宋_GB2312" w:eastAsia="仿宋_GB2312" w:hAnsi="仿宋" w:cs="仿宋" w:hint="eastAsia"/>
                <w:kern w:val="0"/>
                <w:szCs w:val="21"/>
              </w:rPr>
              <w:t>5000元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每学年10人</w:t>
            </w:r>
          </w:p>
        </w:tc>
      </w:tr>
      <w:tr w:rsidR="004842D7" w:rsidRPr="004842D7" w:rsidTr="007D5BA8">
        <w:trPr>
          <w:trHeight w:val="364"/>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restart"/>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综合奖学金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一等奖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2000元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在校生总数的5%</w:t>
            </w:r>
          </w:p>
        </w:tc>
      </w:tr>
      <w:tr w:rsidR="004842D7" w:rsidRPr="004842D7" w:rsidTr="007D5BA8">
        <w:trPr>
          <w:trHeight w:val="152"/>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二等奖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1200元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在校生总数的10%</w:t>
            </w:r>
          </w:p>
        </w:tc>
      </w:tr>
      <w:tr w:rsidR="004842D7" w:rsidRPr="004842D7" w:rsidTr="007D5BA8">
        <w:trPr>
          <w:trHeight w:val="152"/>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三等奖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600元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在校生总数的20%</w:t>
            </w:r>
          </w:p>
        </w:tc>
      </w:tr>
      <w:tr w:rsidR="004842D7" w:rsidRPr="004842D7" w:rsidTr="007D5BA8">
        <w:trPr>
          <w:trHeight w:val="152"/>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restart"/>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专业学习奖</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一等奖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400元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在校生总数的5%</w:t>
            </w:r>
          </w:p>
        </w:tc>
      </w:tr>
      <w:tr w:rsidR="004842D7" w:rsidRPr="004842D7" w:rsidTr="007D5BA8">
        <w:trPr>
          <w:trHeight w:val="152"/>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二等奖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300元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在校生总数的10%</w:t>
            </w:r>
          </w:p>
        </w:tc>
      </w:tr>
      <w:tr w:rsidR="004842D7" w:rsidRPr="004842D7" w:rsidTr="007D5BA8">
        <w:trPr>
          <w:trHeight w:val="454"/>
          <w:tblCellSpacing w:w="15" w:type="dxa"/>
          <w:jc w:val="center"/>
        </w:trPr>
        <w:tc>
          <w:tcPr>
            <w:tcW w:w="1010" w:type="dxa"/>
            <w:vMerge/>
            <w:vAlign w:val="center"/>
          </w:tcPr>
          <w:p w:rsidR="004842D7" w:rsidRPr="004842D7" w:rsidRDefault="004842D7" w:rsidP="004842D7">
            <w:pPr>
              <w:spacing w:line="276" w:lineRule="auto"/>
              <w:jc w:val="center"/>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三等奖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200元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在校生总数的20%</w:t>
            </w:r>
          </w:p>
        </w:tc>
      </w:tr>
      <w:tr w:rsidR="004842D7" w:rsidRPr="004842D7" w:rsidTr="007D5BA8">
        <w:trPr>
          <w:trHeight w:val="152"/>
          <w:tblCellSpacing w:w="15" w:type="dxa"/>
          <w:jc w:val="center"/>
        </w:trPr>
        <w:tc>
          <w:tcPr>
            <w:tcW w:w="1010" w:type="dxa"/>
            <w:vMerge/>
            <w:vAlign w:val="center"/>
          </w:tcPr>
          <w:p w:rsidR="004842D7" w:rsidRPr="004842D7" w:rsidRDefault="004842D7" w:rsidP="004842D7">
            <w:pPr>
              <w:widowControl/>
              <w:spacing w:line="276" w:lineRule="auto"/>
              <w:jc w:val="center"/>
              <w:rPr>
                <w:rFonts w:ascii="仿宋_GB2312" w:eastAsia="仿宋_GB2312" w:hAnsi="仿宋" w:cs="仿宋"/>
                <w:kern w:val="0"/>
                <w:szCs w:val="21"/>
              </w:rPr>
            </w:pP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新生奖学金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5000元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r>
      <w:tr w:rsidR="004842D7" w:rsidRPr="004842D7" w:rsidTr="007D5BA8">
        <w:trPr>
          <w:trHeight w:val="152"/>
          <w:tblCellSpacing w:w="15" w:type="dxa"/>
          <w:jc w:val="center"/>
        </w:trPr>
        <w:tc>
          <w:tcPr>
            <w:tcW w:w="1010" w:type="dxa"/>
            <w:vMerge/>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387" w:type="dxa"/>
            <w:vMerge w:val="restart"/>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少数民族学生</w:t>
            </w:r>
          </w:p>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励志奖学金</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一等奖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1000元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在校少数民族学生总数的5%</w:t>
            </w:r>
          </w:p>
        </w:tc>
      </w:tr>
      <w:tr w:rsidR="004842D7" w:rsidRPr="004842D7" w:rsidTr="007D5BA8">
        <w:trPr>
          <w:trHeight w:val="152"/>
          <w:tblCellSpacing w:w="15" w:type="dxa"/>
          <w:jc w:val="center"/>
        </w:trPr>
        <w:tc>
          <w:tcPr>
            <w:tcW w:w="1010" w:type="dxa"/>
            <w:vMerge/>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二等奖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800元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在校少数民族学生总数的10%</w:t>
            </w:r>
          </w:p>
        </w:tc>
      </w:tr>
      <w:tr w:rsidR="004842D7" w:rsidRPr="004842D7" w:rsidTr="007D5BA8">
        <w:trPr>
          <w:trHeight w:val="152"/>
          <w:tblCellSpacing w:w="15" w:type="dxa"/>
          <w:jc w:val="center"/>
        </w:trPr>
        <w:tc>
          <w:tcPr>
            <w:tcW w:w="1010" w:type="dxa"/>
            <w:vMerge/>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387" w:type="dxa"/>
            <w:vMerge/>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三等奖</w:t>
            </w: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500元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在校少数民族学生总数的15%</w:t>
            </w:r>
          </w:p>
        </w:tc>
      </w:tr>
      <w:tr w:rsidR="004842D7" w:rsidRPr="004842D7" w:rsidTr="007D5BA8">
        <w:trPr>
          <w:trHeight w:val="152"/>
          <w:tblCellSpacing w:w="15" w:type="dxa"/>
          <w:jc w:val="center"/>
        </w:trPr>
        <w:tc>
          <w:tcPr>
            <w:tcW w:w="1010" w:type="dxa"/>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书院单项奖</w:t>
            </w:r>
          </w:p>
        </w:tc>
        <w:tc>
          <w:tcPr>
            <w:tcW w:w="138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社会工作奖、科技创新奖、文体活动奖等</w:t>
            </w:r>
          </w:p>
        </w:tc>
        <w:tc>
          <w:tcPr>
            <w:tcW w:w="963"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p>
        </w:tc>
        <w:tc>
          <w:tcPr>
            <w:tcW w:w="1427"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100—1000元</w:t>
            </w:r>
          </w:p>
        </w:tc>
        <w:tc>
          <w:tcPr>
            <w:tcW w:w="1798" w:type="dxa"/>
            <w:vAlign w:val="center"/>
          </w:tcPr>
          <w:p w:rsidR="004842D7" w:rsidRPr="004842D7" w:rsidRDefault="004842D7" w:rsidP="004842D7">
            <w:pPr>
              <w:widowControl/>
              <w:spacing w:line="276" w:lineRule="auto"/>
              <w:jc w:val="left"/>
              <w:rPr>
                <w:rFonts w:ascii="仿宋_GB2312" w:eastAsia="仿宋_GB2312" w:hAnsi="仿宋" w:cs="仿宋"/>
                <w:kern w:val="0"/>
                <w:szCs w:val="21"/>
              </w:rPr>
            </w:pPr>
            <w:r w:rsidRPr="004842D7">
              <w:rPr>
                <w:rFonts w:ascii="仿宋_GB2312" w:eastAsia="仿宋_GB2312" w:hAnsi="仿宋" w:cs="仿宋" w:hint="eastAsia"/>
                <w:kern w:val="0"/>
                <w:szCs w:val="21"/>
              </w:rPr>
              <w:t>在校生总数的30%</w:t>
            </w:r>
          </w:p>
        </w:tc>
      </w:tr>
    </w:tbl>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第五条   </w:t>
      </w:r>
      <w:r w:rsidRPr="004842D7">
        <w:rPr>
          <w:rFonts w:ascii="仿宋_GB2312" w:eastAsia="仿宋_GB2312" w:hAnsi="仿宋" w:cs="仿宋" w:hint="eastAsia"/>
          <w:kern w:val="0"/>
          <w:sz w:val="24"/>
          <w:szCs w:val="24"/>
        </w:rPr>
        <w:t>国家奖学金、审计长奖学金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1.国家奖学金是由中央政府出资，面向全国本专科在校生设立的。具体评审办法见《南京审计大学国家奖学金评选实施细则（暂行）》。</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2.审计长奖学金是由国家审计署出资，面向我校全日制在读本科生和研究生设立的。具体评审办法见《南京审计大学“审计长奖学金”评选办法》。</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lastRenderedPageBreak/>
        <w:t>3.国家奖学金和审计长奖学金在同一年内不兼得。</w:t>
      </w:r>
    </w:p>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第六条   </w:t>
      </w:r>
      <w:r w:rsidRPr="004842D7">
        <w:rPr>
          <w:rFonts w:ascii="仿宋_GB2312" w:eastAsia="仿宋_GB2312" w:hAnsi="仿宋" w:cs="仿宋" w:hint="eastAsia"/>
          <w:kern w:val="0"/>
          <w:sz w:val="24"/>
          <w:szCs w:val="24"/>
        </w:rPr>
        <w:t>校长奖学金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（一）校长奖学金是为了奖励为学校和国家赢得较高声誉，或作出重要贡献的优秀学生而设立的特别奖学金。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（二）校长奖学金获得者应具备下列条件之一：</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1.在相关理论研究或科技创新中获得重要突破，并经权威机构认可；</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2.参加有重要影响的国际交流活动，在国内外产生较大影响；</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3.代表学校参加国际或国家级各类重要比赛，并取得突出成绩；</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4.对学校的改革和发展提出有影响的、可操作的建议和方案，被学校有关部门吸收采纳，提高了工作效率或产生了经济效益；</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5.在学校精神文明建设或社会公益事业中做出突出贡献。</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（三）校长奖学金奖励金额5000元，由学生所在书院进行推荐，并整理出具体事迹，报学务委员会评审，经学生工作委员会评议通过后，报分管校领导批准。</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第七条  </w:t>
      </w:r>
      <w:r w:rsidRPr="004842D7">
        <w:rPr>
          <w:rFonts w:ascii="仿宋_GB2312" w:eastAsia="仿宋_GB2312" w:hAnsi="仿宋" w:cs="仿宋" w:hint="eastAsia"/>
          <w:kern w:val="0"/>
          <w:sz w:val="24"/>
          <w:szCs w:val="24"/>
        </w:rPr>
        <w:t>校级综合奖学金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（一）综合奖学金用以奖励在学业成绩、素质拓展等方面综合表现优秀的学生。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lastRenderedPageBreak/>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一等奖</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1.素质拓展测评成绩为A等级；</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2.学业加权平均成绩在86分以上，且在同年级、同专业排名前10%；</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二等奖</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1.素质拓展测评成绩为A等级；</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2.学业加权平均成绩在83分以上，且在同年级、同专业排名前25%；</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三等奖</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1.素质拓展测评成绩为B+等级；</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2.学业加权平均成绩在80分以上，且在同年级、同专业排名前45%；</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（三）综合奖学金的获奖比例见第四条。</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第八条  </w:t>
      </w:r>
      <w:r w:rsidRPr="004842D7">
        <w:rPr>
          <w:rFonts w:ascii="仿宋_GB2312" w:eastAsia="仿宋_GB2312" w:hAnsi="仿宋" w:cs="仿宋" w:hint="eastAsia"/>
          <w:kern w:val="0"/>
          <w:sz w:val="24"/>
          <w:szCs w:val="24"/>
        </w:rPr>
        <w:t>专业学习奖</w:t>
      </w:r>
    </w:p>
    <w:p w:rsidR="004842D7" w:rsidRPr="004842D7" w:rsidRDefault="004842D7" w:rsidP="004842D7">
      <w:pPr>
        <w:widowControl/>
        <w:spacing w:line="276" w:lineRule="auto"/>
        <w:ind w:firstLineChars="200" w:firstLine="480"/>
        <w:jc w:val="left"/>
        <w:rPr>
          <w:rFonts w:ascii="仿宋_GB2312" w:eastAsia="仿宋_GB2312" w:hAnsi="仿宋" w:cs="仿宋"/>
          <w:b/>
          <w:kern w:val="0"/>
          <w:sz w:val="24"/>
          <w:szCs w:val="24"/>
        </w:rPr>
      </w:pPr>
      <w:r w:rsidRPr="004842D7">
        <w:rPr>
          <w:rFonts w:ascii="仿宋_GB2312" w:eastAsia="仿宋_GB2312" w:hAnsi="仿宋" w:cs="仿宋" w:hint="eastAsia"/>
          <w:kern w:val="0"/>
          <w:sz w:val="24"/>
          <w:szCs w:val="24"/>
        </w:rPr>
        <w:t>（一）专业学习奖用以奖励学习成绩优异的学生。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1.学年综合测评成绩为B等级及以上；</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2.专业学习一等奖的学业加权平均成绩在同年级同专业排名前5%；专业学习二等奖的学业加权平均成绩在同年级同专业排名前15%；专业学习三等奖的学业加权平均成绩在同年级同专业排名前35%。</w:t>
      </w:r>
    </w:p>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第九条  </w:t>
      </w:r>
      <w:r w:rsidRPr="004842D7">
        <w:rPr>
          <w:rFonts w:ascii="仿宋_GB2312" w:eastAsia="仿宋_GB2312" w:hAnsi="仿宋" w:cs="仿宋" w:hint="eastAsia"/>
          <w:kern w:val="0"/>
          <w:sz w:val="24"/>
          <w:szCs w:val="24"/>
        </w:rPr>
        <w:t>书院单项奖</w:t>
      </w:r>
    </w:p>
    <w:p w:rsidR="004842D7" w:rsidRPr="004842D7" w:rsidRDefault="004842D7" w:rsidP="004842D7">
      <w:pPr>
        <w:spacing w:line="276" w:lineRule="auto"/>
        <w:ind w:firstLineChars="200" w:firstLine="480"/>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（一）各书院自行申报单项奖设置方案，包括奖学</w:t>
      </w:r>
      <w:r w:rsidRPr="004842D7">
        <w:rPr>
          <w:rFonts w:ascii="仿宋_GB2312" w:eastAsia="仿宋_GB2312" w:hAnsi="仿宋" w:cs="仿宋" w:hint="eastAsia"/>
          <w:kern w:val="0"/>
          <w:sz w:val="24"/>
          <w:szCs w:val="24"/>
        </w:rPr>
        <w:lastRenderedPageBreak/>
        <w:t>金名称、评比条件、程序、比例、奖励金额等。</w:t>
      </w:r>
    </w:p>
    <w:p w:rsidR="004842D7" w:rsidRPr="004842D7" w:rsidRDefault="004842D7" w:rsidP="004842D7">
      <w:pPr>
        <w:spacing w:line="276" w:lineRule="auto"/>
        <w:ind w:firstLineChars="200" w:firstLine="480"/>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（二）需要校级表彰的，经学务委员会审核、报校学生工作委员会批准。</w:t>
      </w:r>
    </w:p>
    <w:p w:rsidR="004842D7" w:rsidRPr="004842D7" w:rsidRDefault="004842D7" w:rsidP="004842D7">
      <w:pPr>
        <w:spacing w:line="276" w:lineRule="auto"/>
        <w:ind w:leftChars="228" w:left="599" w:hangingChars="50" w:hanging="120"/>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（三）单项奖学金获奖总比例原则上不超过30%。</w:t>
      </w:r>
    </w:p>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第十条  </w:t>
      </w:r>
      <w:r w:rsidRPr="004842D7">
        <w:rPr>
          <w:rFonts w:ascii="仿宋_GB2312" w:eastAsia="仿宋_GB2312" w:hAnsi="仿宋" w:cs="仿宋" w:hint="eastAsia"/>
          <w:kern w:val="0"/>
          <w:sz w:val="24"/>
          <w:szCs w:val="24"/>
        </w:rPr>
        <w:t>新生奖学金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（一）新生奖学金每年评选10名，奖金为5000元。凡被我校正式录取并报到注册的全日制本科新生（以下简称新生），并符合新生奖学金评审条件者，可享受新生奖学金。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（二）新生奖学金评选须同时满足下列条件：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1.当年以第一志愿填报我校并被我校正式录取的新生。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2.高考分数在所在专业、所在省份、以及全校新生中排名前列，或因具有突出特长在当年招生过程中学校承诺给予新生奖学金。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新生奖学金在每年9月初由学务委员会招生与就业中心根据当年招生情况提出方案和名单，经校长办公会议研究批准，于新生开学典礼时予以表彰，颁发奖学金和荣誉证书。</w:t>
      </w:r>
    </w:p>
    <w:p w:rsidR="004842D7" w:rsidRPr="004842D7" w:rsidRDefault="004842D7" w:rsidP="004842D7">
      <w:pPr>
        <w:widowControl/>
        <w:spacing w:line="276" w:lineRule="auto"/>
        <w:ind w:firstLineChars="200" w:firstLine="482"/>
        <w:jc w:val="left"/>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 xml:space="preserve">第十一条  </w:t>
      </w:r>
      <w:r w:rsidRPr="004842D7">
        <w:rPr>
          <w:rFonts w:ascii="仿宋_GB2312" w:eastAsia="仿宋_GB2312" w:hAnsi="仿宋" w:cs="仿宋" w:hint="eastAsia"/>
          <w:kern w:val="0"/>
          <w:sz w:val="24"/>
          <w:szCs w:val="24"/>
        </w:rPr>
        <w:t>少数民族学生励志奖学金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(一)奖励对象为我校非汉族在校学生。</w:t>
      </w:r>
    </w:p>
    <w:p w:rsidR="004842D7" w:rsidRPr="004842D7" w:rsidRDefault="004842D7" w:rsidP="004842D7">
      <w:pPr>
        <w:widowControl/>
        <w:spacing w:line="276" w:lineRule="auto"/>
        <w:ind w:firstLineChars="150" w:firstLine="36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（二）少数民族学生励志奖学金的评定采取单独划定获奖比例，独立评审的方式，具体评定办法参考《南京审计大学少数民族学生励志奖学金评选暂行办法》。</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lastRenderedPageBreak/>
        <w:t>第十二条</w:t>
      </w:r>
      <w:r w:rsidRPr="004842D7">
        <w:rPr>
          <w:rFonts w:ascii="仿宋_GB2312" w:eastAsia="仿宋_GB2312" w:hAnsi="仿宋" w:cs="仿宋" w:hint="eastAsia"/>
          <w:kern w:val="0"/>
          <w:sz w:val="24"/>
          <w:szCs w:val="24"/>
        </w:rPr>
        <w:t xml:space="preserve">  国家励志奖学金、国家助学金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（一）评比对象为我校全日制本科生中的经济困难学生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（二）评比办法参见《南京审计大学国家励志奖学金评选实施细则》和《南京审计大学国家助学金评选实施细则》。</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第十三条  </w:t>
      </w:r>
      <w:r w:rsidRPr="004842D7">
        <w:rPr>
          <w:rFonts w:ascii="仿宋_GB2312" w:eastAsia="仿宋_GB2312" w:hAnsi="仿宋" w:cs="仿宋" w:hint="eastAsia"/>
          <w:kern w:val="0"/>
          <w:sz w:val="24"/>
          <w:szCs w:val="24"/>
        </w:rPr>
        <w:t>专项奖（助）学金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（一）专项奖（助）学金由社会各界在我校捐资设立，用于奖励品学兼优学生或资助家庭经济困难学生。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（二）各专项（助）奖学金管理办法由学务委员会与捐资单位或个人协商另行制订。</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第十四条</w:t>
      </w:r>
      <w:r w:rsidRPr="004842D7">
        <w:rPr>
          <w:rFonts w:ascii="仿宋_GB2312" w:eastAsia="仿宋_GB2312" w:hAnsi="仿宋" w:cs="仿宋" w:hint="eastAsia"/>
          <w:kern w:val="0"/>
          <w:sz w:val="24"/>
          <w:szCs w:val="24"/>
        </w:rPr>
        <w:t xml:space="preserve">  其他</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（一）综合奖学金、学业单项奖学金不可兼得；综合奖学金、学业单项奖和其他单项奖之间可以兼得。</w:t>
      </w:r>
    </w:p>
    <w:p w:rsidR="004842D7" w:rsidRPr="004842D7" w:rsidRDefault="004842D7" w:rsidP="004842D7">
      <w:pPr>
        <w:widowControl/>
        <w:spacing w:line="276" w:lineRule="auto"/>
        <w:ind w:firstLineChars="200" w:firstLine="480"/>
        <w:jc w:val="left"/>
        <w:rPr>
          <w:rFonts w:ascii="仿宋_GB2312" w:eastAsia="仿宋_GB2312" w:hAnsi="仿宋" w:cs="仿宋"/>
          <w:b/>
          <w:kern w:val="0"/>
          <w:sz w:val="24"/>
          <w:szCs w:val="24"/>
        </w:rPr>
      </w:pPr>
      <w:r w:rsidRPr="004842D7">
        <w:rPr>
          <w:rFonts w:ascii="仿宋_GB2312" w:eastAsia="仿宋_GB2312" w:hAnsi="仿宋" w:cs="仿宋" w:hint="eastAsia"/>
          <w:kern w:val="0"/>
          <w:sz w:val="24"/>
          <w:szCs w:val="24"/>
        </w:rPr>
        <w:t>（二）毕业班只进行综合奖学金、各类先进个人的评选,在每年三月份组织实施,奖金减半发放。</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p>
    <w:p w:rsidR="004842D7" w:rsidRPr="004842D7" w:rsidRDefault="004842D7" w:rsidP="004842D7">
      <w:pPr>
        <w:widowControl/>
        <w:spacing w:line="276" w:lineRule="auto"/>
        <w:ind w:firstLineChars="200" w:firstLine="482"/>
        <w:jc w:val="center"/>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第三章  先进个人评选细则</w:t>
      </w:r>
    </w:p>
    <w:p w:rsidR="004842D7" w:rsidRPr="004842D7" w:rsidRDefault="004842D7" w:rsidP="004842D7">
      <w:pPr>
        <w:widowControl/>
        <w:spacing w:line="276" w:lineRule="auto"/>
        <w:ind w:firstLineChars="200" w:firstLine="482"/>
        <w:jc w:val="center"/>
        <w:rPr>
          <w:rFonts w:ascii="仿宋_GB2312" w:eastAsia="仿宋_GB2312" w:hAnsi="仿宋" w:cs="仿宋"/>
          <w:b/>
          <w:kern w:val="0"/>
          <w:sz w:val="24"/>
          <w:szCs w:val="24"/>
        </w:rPr>
      </w:pP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第十五条</w:t>
      </w:r>
      <w:r w:rsidRPr="004842D7">
        <w:rPr>
          <w:rFonts w:ascii="仿宋_GB2312" w:eastAsia="仿宋_GB2312" w:hAnsi="仿宋" w:cs="仿宋" w:hint="eastAsia"/>
          <w:kern w:val="0"/>
          <w:sz w:val="24"/>
          <w:szCs w:val="24"/>
        </w:rPr>
        <w:t xml:space="preserve">  三好学生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（一）评选比例：不超过学生总数的10%。</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1.政治思想品德方面：</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lastRenderedPageBreak/>
        <w:t>（1）热爱社会主义祖国，拥护中国共产党领导；</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（2）认真学习马列主义理论，积极参加时政学习，考试（考核）成绩优秀；</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（3）关心集体、尊敬师长、团结同学、助人为乐；遵纪守法；模范执行“高等学校学生行为规范” 和学校的各项规章制度；所在寝室获得校级文明达标寝室；</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（4）勇于开展批评和自我批评，自觉抵制不良行为；</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2.学习方面：</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（1）学习目的明确、热爱所学专业，勤奋学习，刻苦钻研；</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（2）在当学年获得二等以上综合奖学金，单科成绩不低于70分。</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3.该学年综合测评等级为A等级以上（毕业生不作要求）。</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第十六条</w:t>
      </w:r>
      <w:r w:rsidRPr="004842D7">
        <w:rPr>
          <w:rFonts w:ascii="仿宋_GB2312" w:eastAsia="仿宋_GB2312" w:hAnsi="仿宋" w:cs="仿宋" w:hint="eastAsia"/>
          <w:kern w:val="0"/>
          <w:sz w:val="24"/>
          <w:szCs w:val="24"/>
        </w:rPr>
        <w:t xml:space="preserve">  三好学生标兵</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w:t>
      </w:r>
      <w:r w:rsidRPr="004842D7">
        <w:rPr>
          <w:rFonts w:ascii="宋体" w:eastAsia="宋体" w:hAnsi="宋体" w:cs="宋体" w:hint="eastAsia"/>
          <w:kern w:val="0"/>
          <w:sz w:val="24"/>
          <w:szCs w:val="24"/>
        </w:rPr>
        <w:t> </w:t>
      </w:r>
      <w:r w:rsidRPr="004842D7">
        <w:rPr>
          <w:rFonts w:ascii="仿宋_GB2312" w:eastAsia="仿宋_GB2312" w:hAnsi="仿宋" w:cs="仿宋" w:hint="eastAsia"/>
          <w:kern w:val="0"/>
          <w:sz w:val="24"/>
          <w:szCs w:val="24"/>
        </w:rPr>
        <w:t>每学年评选10名校三好学生标兵。</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1.从当年校三好学生中评选出特别优秀者；</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2.学习上富有创造能力，并有显著成绩，当学年获得综合奖学金一等奖；</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3.所在寝室获得校级文明标兵寝室者优先。</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(三)获得三好学生标兵者,奖金500元。</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第十七条  </w:t>
      </w:r>
      <w:r w:rsidRPr="004842D7">
        <w:rPr>
          <w:rFonts w:ascii="仿宋_GB2312" w:eastAsia="仿宋_GB2312" w:hAnsi="仿宋" w:cs="仿宋" w:hint="eastAsia"/>
          <w:kern w:val="0"/>
          <w:sz w:val="24"/>
          <w:szCs w:val="24"/>
        </w:rPr>
        <w:t>优秀学生干部</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lastRenderedPageBreak/>
        <w:t>（一）评选比例：不超过学生总数的5%。</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1.具备“校级三好学生”评选条件的第1项；</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2.具备较强的组织管理能力，工作埋头苦干，能发挥模范带头作用，并出色地完成党团组织交给的任务；</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3.在当学年获得三等以上综合奖学金。</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4.该学年素质拓展成绩为B+等级以上。</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第十八条</w:t>
      </w:r>
      <w:r w:rsidRPr="004842D7">
        <w:rPr>
          <w:rFonts w:ascii="仿宋_GB2312" w:eastAsia="仿宋_GB2312" w:hAnsi="仿宋" w:cs="仿宋" w:hint="eastAsia"/>
          <w:kern w:val="0"/>
          <w:sz w:val="24"/>
          <w:szCs w:val="24"/>
        </w:rPr>
        <w:t xml:space="preserve">  在评选校三好学生、优秀学生干部的基础上推荐申报江苏省和全国三好学生、优秀学生干部。获得省三好学生、省优秀学生干部，奖金500元；获得全国三好学生、全国优秀学生干部，奖金1000元。</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第十九条</w:t>
      </w:r>
      <w:r w:rsidRPr="004842D7">
        <w:rPr>
          <w:rFonts w:ascii="仿宋_GB2312" w:eastAsia="仿宋_GB2312" w:hAnsi="仿宋" w:cs="仿宋" w:hint="eastAsia"/>
          <w:kern w:val="0"/>
          <w:sz w:val="24"/>
          <w:szCs w:val="24"/>
        </w:rPr>
        <w:t xml:space="preserve">  优秀毕业生</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（一）评选比例：不超过学生总数的15%。</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（二）评选条件</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1.在校期间成绩优秀，大学期间获得过二等以上奖学金或第四学年获校三等以上奖学金，或大学英语六级成绩达良好，或计算机二级成绩优秀，或考取研究生、公务员。</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2.在校期间没有受过行政处分。</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3.在毕业生文明离校活动中有较好表现；</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4.曾获校级及校级以上重要荣誉：如 “三好学生”、“优秀学生干部”、国家奖学金、审计长奖学金、校长奖学金等。</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lastRenderedPageBreak/>
        <w:t>5.有正确的择业观，积极投身国家建设事业，志愿参加了大学生“村官”、“西部计划”、“苏北计划”的毕业生优先评定。</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6.因其他突出事迹，经学务委员会认定可以授予的。</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其中第1、2、3项条件是必备条件。</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第二十条  </w:t>
      </w:r>
      <w:r w:rsidRPr="004842D7">
        <w:rPr>
          <w:rFonts w:ascii="仿宋_GB2312" w:eastAsia="仿宋_GB2312" w:hAnsi="仿宋" w:cs="仿宋" w:hint="eastAsia"/>
          <w:kern w:val="0"/>
          <w:sz w:val="24"/>
          <w:szCs w:val="24"/>
        </w:rPr>
        <w:t>十佳、百优班长和寝室长</w:t>
      </w:r>
    </w:p>
    <w:p w:rsidR="004842D7" w:rsidRPr="004842D7" w:rsidRDefault="004842D7" w:rsidP="004842D7">
      <w:pPr>
        <w:widowControl/>
        <w:spacing w:line="276" w:lineRule="auto"/>
        <w:ind w:firstLineChars="200" w:firstLine="480"/>
        <w:jc w:val="left"/>
        <w:rPr>
          <w:rFonts w:ascii="仿宋_GB2312" w:eastAsia="仿宋_GB2312" w:hAnsi="仿宋" w:cs="仿宋"/>
          <w:b/>
          <w:kern w:val="0"/>
          <w:sz w:val="24"/>
          <w:szCs w:val="24"/>
        </w:rPr>
      </w:pPr>
      <w:r w:rsidRPr="004842D7">
        <w:rPr>
          <w:rFonts w:ascii="仿宋_GB2312" w:eastAsia="仿宋_GB2312" w:hAnsi="仿宋" w:cs="仿宋" w:hint="eastAsia"/>
          <w:kern w:val="0"/>
          <w:sz w:val="24"/>
          <w:szCs w:val="24"/>
        </w:rPr>
        <w:t>具体评比办法参考《南京审计大学十佳、百优文明班级和寝室评比办法》。获得十佳班长、寝室长，奖金500元。</w:t>
      </w:r>
    </w:p>
    <w:p w:rsidR="004842D7" w:rsidRPr="004842D7" w:rsidRDefault="004842D7" w:rsidP="004842D7">
      <w:pPr>
        <w:widowControl/>
        <w:spacing w:line="276" w:lineRule="auto"/>
        <w:ind w:firstLineChars="200" w:firstLine="482"/>
        <w:jc w:val="center"/>
        <w:rPr>
          <w:rFonts w:ascii="仿宋_GB2312" w:eastAsia="仿宋_GB2312" w:hAnsi="仿宋" w:cs="仿宋"/>
          <w:b/>
          <w:kern w:val="0"/>
          <w:sz w:val="24"/>
          <w:szCs w:val="24"/>
        </w:rPr>
      </w:pPr>
    </w:p>
    <w:p w:rsidR="004842D7" w:rsidRPr="004842D7" w:rsidRDefault="004842D7" w:rsidP="004842D7">
      <w:pPr>
        <w:widowControl/>
        <w:spacing w:line="276" w:lineRule="auto"/>
        <w:ind w:firstLineChars="200" w:firstLine="482"/>
        <w:jc w:val="center"/>
        <w:rPr>
          <w:rFonts w:ascii="仿宋_GB2312" w:eastAsia="仿宋_GB2312" w:hAnsi="仿宋" w:cs="仿宋"/>
          <w:b/>
          <w:kern w:val="0"/>
          <w:sz w:val="24"/>
          <w:szCs w:val="24"/>
        </w:rPr>
      </w:pPr>
      <w:r w:rsidRPr="004842D7">
        <w:rPr>
          <w:rFonts w:ascii="仿宋_GB2312" w:eastAsia="仿宋_GB2312" w:hAnsi="仿宋" w:cs="仿宋" w:hint="eastAsia"/>
          <w:b/>
          <w:kern w:val="0"/>
          <w:sz w:val="24"/>
          <w:szCs w:val="24"/>
        </w:rPr>
        <w:t>第四章  先进集体评选细则</w:t>
      </w:r>
    </w:p>
    <w:p w:rsidR="004842D7" w:rsidRPr="004842D7" w:rsidRDefault="004842D7" w:rsidP="004842D7">
      <w:pPr>
        <w:widowControl/>
        <w:spacing w:line="276" w:lineRule="auto"/>
        <w:ind w:firstLineChars="200" w:firstLine="482"/>
        <w:jc w:val="center"/>
        <w:rPr>
          <w:rFonts w:ascii="仿宋_GB2312" w:eastAsia="仿宋_GB2312" w:hAnsi="仿宋" w:cs="仿宋"/>
          <w:b/>
          <w:kern w:val="0"/>
          <w:sz w:val="24"/>
          <w:szCs w:val="24"/>
        </w:rPr>
      </w:pP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第二十一条  </w:t>
      </w:r>
      <w:r w:rsidRPr="004842D7">
        <w:rPr>
          <w:rFonts w:ascii="仿宋_GB2312" w:eastAsia="仿宋_GB2312" w:hAnsi="仿宋" w:cs="仿宋" w:hint="eastAsia"/>
          <w:kern w:val="0"/>
          <w:sz w:val="24"/>
          <w:szCs w:val="24"/>
        </w:rPr>
        <w:t>校级文明达标寝室、文明寝室以及十佳、百优文明寝室的评选</w:t>
      </w:r>
    </w:p>
    <w:p w:rsidR="004842D7" w:rsidRPr="004842D7" w:rsidRDefault="004842D7" w:rsidP="004842D7">
      <w:pPr>
        <w:widowControl/>
        <w:spacing w:line="276" w:lineRule="auto"/>
        <w:ind w:firstLineChars="200" w:firstLine="480"/>
        <w:jc w:val="left"/>
        <w:rPr>
          <w:rFonts w:ascii="仿宋_GB2312" w:eastAsia="仿宋_GB2312" w:hAnsi="仿宋" w:cs="仿宋"/>
          <w:b/>
          <w:kern w:val="0"/>
          <w:sz w:val="24"/>
          <w:szCs w:val="24"/>
        </w:rPr>
      </w:pPr>
      <w:r w:rsidRPr="004842D7">
        <w:rPr>
          <w:rFonts w:ascii="仿宋_GB2312" w:eastAsia="仿宋_GB2312" w:hAnsi="仿宋" w:cs="仿宋" w:hint="eastAsia"/>
          <w:kern w:val="0"/>
          <w:sz w:val="24"/>
          <w:szCs w:val="24"/>
        </w:rPr>
        <w:t>具体评比办法参考《南京审计大学文明寝室评比办法》和《南京审计大学十佳、百优文明班级和寝室评比办法》。</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第二十二条</w:t>
      </w:r>
      <w:r w:rsidRPr="004842D7">
        <w:rPr>
          <w:rFonts w:ascii="仿宋_GB2312" w:eastAsia="仿宋_GB2312" w:hAnsi="仿宋" w:cs="仿宋" w:hint="eastAsia"/>
          <w:kern w:val="0"/>
          <w:sz w:val="24"/>
          <w:szCs w:val="24"/>
        </w:rPr>
        <w:t xml:space="preserve">  优秀班级</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学年内被评为“优良学风班”同时具备下列条件的班级（含书院班级和专业班级），可评为优秀班级，奖金200元。校优秀班级比例为全校学生班级总数的20%。</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1.全班学生有自觉拥护党的基本路线和各项方针、政策，热爱社会主义祖国。积极参加时政学习和</w:t>
      </w:r>
      <w:r w:rsidRPr="004842D7">
        <w:rPr>
          <w:rFonts w:ascii="仿宋_GB2312" w:eastAsia="仿宋_GB2312" w:hAnsi="仿宋" w:cs="仿宋" w:hint="eastAsia"/>
          <w:kern w:val="0"/>
          <w:sz w:val="24"/>
          <w:szCs w:val="24"/>
        </w:rPr>
        <w:lastRenderedPageBreak/>
        <w:t>集体活动。全班同学作风正派，团结好学，集体荣誉感强。全班同学积极要求进步，整体政治素质高，党、团等政治活动出满勤，质量高；</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2.全班学生自觉遵守《高等学校学生行为准则》、《江苏省大学生文明公约》，讲文明、有礼貌。在公共场所做到衣着整齐，礼貌待人；男女交往举止得体；勤俭节约，文明就餐；自觉遵守学校的各项规章制度，无违纪行为，自觉维护学生宿舍和校园的文明、卫生、安全，所在班级教室、宿舍在校、院文明卫生检查中成绩突出；</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3.全班学生学习勤奋，不及格率低于4%；</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4.积极开展素质教育的提高活动，有突出的做法和事迹；</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5.主动关心学校建设，积极参加公益劳动。自觉爱护公物，教室、寝室内财产保护完好；</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6.积极参加校、院组织的各项文体活动；</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7.全班同学社会实践参与率100%、社团参与率、讲座参与率高；</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8.班级学生干部思想品德好，以身作则，团结协作，作风正派，能发挥模范带头作用，得到全班同学的拥护；</w:t>
      </w:r>
    </w:p>
    <w:p w:rsidR="004842D7" w:rsidRPr="004842D7" w:rsidRDefault="004842D7" w:rsidP="004842D7">
      <w:pPr>
        <w:widowControl/>
        <w:spacing w:line="276" w:lineRule="auto"/>
        <w:ind w:firstLineChars="200" w:firstLine="480"/>
        <w:jc w:val="left"/>
        <w:rPr>
          <w:rFonts w:ascii="仿宋_GB2312" w:eastAsia="仿宋_GB2312" w:hAnsi="仿宋" w:cs="仿宋"/>
          <w:kern w:val="0"/>
          <w:sz w:val="24"/>
          <w:szCs w:val="24"/>
        </w:rPr>
      </w:pPr>
      <w:r w:rsidRPr="004842D7">
        <w:rPr>
          <w:rFonts w:ascii="仿宋_GB2312" w:eastAsia="仿宋_GB2312" w:hAnsi="仿宋" w:cs="仿宋" w:hint="eastAsia"/>
          <w:kern w:val="0"/>
          <w:sz w:val="24"/>
          <w:szCs w:val="24"/>
        </w:rPr>
        <w:t>9.“教师评学”优秀。</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 xml:space="preserve">第二十三条  </w:t>
      </w:r>
      <w:r w:rsidRPr="004842D7">
        <w:rPr>
          <w:rFonts w:ascii="仿宋_GB2312" w:eastAsia="仿宋_GB2312" w:hAnsi="仿宋" w:cs="仿宋" w:hint="eastAsia"/>
          <w:kern w:val="0"/>
          <w:sz w:val="24"/>
          <w:szCs w:val="24"/>
        </w:rPr>
        <w:t>在评选校优秀班级的基础上推荐申报江苏省和全国优秀班级，获得省优秀班级，奖金500元；获得全国优秀班级，奖金1000元。</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lastRenderedPageBreak/>
        <w:t>第二十四条</w:t>
      </w:r>
      <w:r w:rsidRPr="004842D7">
        <w:rPr>
          <w:rFonts w:ascii="仿宋_GB2312" w:eastAsia="仿宋_GB2312" w:hAnsi="仿宋" w:cs="仿宋" w:hint="eastAsia"/>
          <w:kern w:val="0"/>
          <w:sz w:val="24"/>
          <w:szCs w:val="24"/>
        </w:rPr>
        <w:t xml:space="preserve"> 十佳、百优文明班级和文明寝室</w:t>
      </w:r>
    </w:p>
    <w:p w:rsidR="004842D7" w:rsidRPr="004842D7" w:rsidRDefault="004842D7" w:rsidP="004842D7">
      <w:pPr>
        <w:widowControl/>
        <w:spacing w:line="276" w:lineRule="auto"/>
        <w:ind w:firstLineChars="200" w:firstLine="480"/>
        <w:jc w:val="left"/>
        <w:rPr>
          <w:rFonts w:ascii="仿宋_GB2312" w:eastAsia="仿宋_GB2312" w:hAnsi="仿宋" w:cs="仿宋"/>
          <w:b/>
          <w:kern w:val="0"/>
          <w:sz w:val="24"/>
          <w:szCs w:val="24"/>
        </w:rPr>
      </w:pPr>
      <w:r w:rsidRPr="004842D7">
        <w:rPr>
          <w:rFonts w:ascii="仿宋_GB2312" w:eastAsia="仿宋_GB2312" w:hAnsi="仿宋" w:cs="仿宋" w:hint="eastAsia"/>
          <w:kern w:val="0"/>
          <w:sz w:val="24"/>
          <w:szCs w:val="24"/>
        </w:rPr>
        <w:t>具体评比办法参考《南京审计大学十佳、百优文明班级和寝室评比办法》。获得十佳文明班级、文明寝室，奖金500元。</w:t>
      </w:r>
    </w:p>
    <w:p w:rsidR="004842D7" w:rsidRPr="004842D7" w:rsidRDefault="004842D7" w:rsidP="004842D7">
      <w:pPr>
        <w:widowControl/>
        <w:spacing w:line="276" w:lineRule="auto"/>
        <w:rPr>
          <w:rFonts w:ascii="仿宋_GB2312" w:eastAsia="仿宋_GB2312" w:hAnsi="仿宋" w:cs="仿宋"/>
          <w:b/>
          <w:kern w:val="0"/>
          <w:sz w:val="24"/>
          <w:szCs w:val="24"/>
        </w:rPr>
      </w:pPr>
    </w:p>
    <w:p w:rsidR="004842D7" w:rsidRPr="004842D7" w:rsidRDefault="004842D7" w:rsidP="004842D7">
      <w:pPr>
        <w:widowControl/>
        <w:spacing w:line="276" w:lineRule="auto"/>
        <w:ind w:firstLineChars="200" w:firstLine="482"/>
        <w:jc w:val="center"/>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附　　则</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rPr>
      </w:pPr>
      <w:r w:rsidRPr="004842D7">
        <w:rPr>
          <w:rFonts w:ascii="仿宋_GB2312" w:eastAsia="仿宋_GB2312" w:hAnsi="仿宋" w:cs="仿宋" w:hint="eastAsia"/>
          <w:b/>
          <w:kern w:val="0"/>
          <w:sz w:val="24"/>
          <w:szCs w:val="24"/>
        </w:rPr>
        <w:t>第二十五条</w:t>
      </w:r>
      <w:r w:rsidRPr="004842D7">
        <w:rPr>
          <w:rFonts w:ascii="仿宋_GB2312" w:eastAsia="仿宋_GB2312" w:hAnsi="仿宋" w:cs="仿宋" w:hint="eastAsia"/>
          <w:kern w:val="0"/>
          <w:sz w:val="24"/>
          <w:szCs w:val="24"/>
        </w:rPr>
        <w:t xml:space="preserve">  以前其它相关规定有与本条例不一致的，以本条例为准。</w:t>
      </w:r>
    </w:p>
    <w:p w:rsidR="004842D7" w:rsidRPr="004842D7" w:rsidRDefault="004842D7" w:rsidP="004842D7">
      <w:pPr>
        <w:widowControl/>
        <w:spacing w:line="276" w:lineRule="auto"/>
        <w:ind w:firstLineChars="200" w:firstLine="482"/>
        <w:jc w:val="left"/>
        <w:rPr>
          <w:rFonts w:ascii="仿宋_GB2312" w:eastAsia="仿宋_GB2312" w:hAnsi="仿宋" w:cs="仿宋"/>
          <w:kern w:val="0"/>
          <w:sz w:val="24"/>
          <w:szCs w:val="24"/>
          <w:u w:val="single"/>
        </w:rPr>
      </w:pPr>
      <w:r w:rsidRPr="004842D7">
        <w:rPr>
          <w:rFonts w:ascii="仿宋_GB2312" w:eastAsia="仿宋_GB2312" w:hAnsi="仿宋" w:cs="仿宋" w:hint="eastAsia"/>
          <w:b/>
          <w:kern w:val="0"/>
          <w:sz w:val="24"/>
          <w:szCs w:val="24"/>
        </w:rPr>
        <w:t>第二十六条</w:t>
      </w:r>
      <w:r w:rsidRPr="004842D7">
        <w:rPr>
          <w:rFonts w:ascii="仿宋_GB2312" w:eastAsia="仿宋_GB2312" w:hAnsi="仿宋" w:cs="仿宋" w:hint="eastAsia"/>
          <w:kern w:val="0"/>
          <w:sz w:val="24"/>
          <w:szCs w:val="24"/>
        </w:rPr>
        <w:t xml:space="preserve">  每学年综合测评结果为评定奖学金、先进个人评定的基础，具体参看《南京审计大学本科生综合素质测评实施指导意见（2017年修订）》。</w:t>
      </w:r>
    </w:p>
    <w:p w:rsidR="004842D7" w:rsidRPr="004842D7" w:rsidRDefault="004842D7" w:rsidP="004842D7">
      <w:pPr>
        <w:spacing w:line="276" w:lineRule="auto"/>
        <w:ind w:firstLineChars="196" w:firstLine="472"/>
        <w:rPr>
          <w:rFonts w:ascii="仿宋_GB2312" w:eastAsia="仿宋_GB2312" w:hAnsi="仿宋" w:cs="仿宋"/>
          <w:kern w:val="0"/>
          <w:sz w:val="24"/>
          <w:szCs w:val="24"/>
        </w:rPr>
        <w:sectPr w:rsidR="004842D7" w:rsidRPr="004842D7" w:rsidSect="001E16BB">
          <w:pgSz w:w="7938" w:h="11510"/>
          <w:pgMar w:top="1134" w:right="1134" w:bottom="1134" w:left="1134" w:header="851" w:footer="851" w:gutter="0"/>
          <w:cols w:space="720"/>
          <w:docGrid w:type="lines" w:linePitch="312"/>
        </w:sectPr>
      </w:pPr>
      <w:r w:rsidRPr="004842D7">
        <w:rPr>
          <w:rFonts w:ascii="仿宋_GB2312" w:eastAsia="仿宋_GB2312" w:hAnsi="仿宋" w:cs="仿宋" w:hint="eastAsia"/>
          <w:b/>
          <w:kern w:val="0"/>
          <w:sz w:val="24"/>
          <w:szCs w:val="24"/>
        </w:rPr>
        <w:t xml:space="preserve">第二十七条  </w:t>
      </w:r>
      <w:r w:rsidRPr="004842D7">
        <w:rPr>
          <w:rFonts w:ascii="仿宋_GB2312" w:eastAsia="仿宋_GB2312" w:hAnsi="仿宋" w:cs="仿宋" w:hint="eastAsia"/>
          <w:kern w:val="0"/>
          <w:sz w:val="24"/>
          <w:szCs w:val="24"/>
        </w:rPr>
        <w:t>本条例由学务委员会负责解释，自2017年9月1日起生效。</w:t>
      </w:r>
    </w:p>
    <w:p w:rsidR="000F7BBE" w:rsidRPr="004842D7" w:rsidRDefault="000F7BBE" w:rsidP="004842D7"/>
    <w:sectPr w:rsidR="000F7BBE" w:rsidRPr="00484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DE" w:rsidRDefault="009075DE" w:rsidP="004842D7">
      <w:r>
        <w:separator/>
      </w:r>
    </w:p>
  </w:endnote>
  <w:endnote w:type="continuationSeparator" w:id="0">
    <w:p w:rsidR="009075DE" w:rsidRDefault="009075DE" w:rsidP="0048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DE" w:rsidRDefault="009075DE" w:rsidP="004842D7">
      <w:r>
        <w:separator/>
      </w:r>
    </w:p>
  </w:footnote>
  <w:footnote w:type="continuationSeparator" w:id="0">
    <w:p w:rsidR="009075DE" w:rsidRDefault="009075DE" w:rsidP="0048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7"/>
    <w:rsid w:val="00035E07"/>
    <w:rsid w:val="000F7BBE"/>
    <w:rsid w:val="001072AB"/>
    <w:rsid w:val="004842D7"/>
    <w:rsid w:val="009075DE"/>
    <w:rsid w:val="009B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836EB-5079-4A43-A2F0-6EB86EF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42D7"/>
    <w:rPr>
      <w:sz w:val="18"/>
      <w:szCs w:val="18"/>
    </w:rPr>
  </w:style>
  <w:style w:type="paragraph" w:styleId="a4">
    <w:name w:val="footer"/>
    <w:basedOn w:val="a"/>
    <w:link w:val="Char0"/>
    <w:uiPriority w:val="99"/>
    <w:unhideWhenUsed/>
    <w:rsid w:val="004842D7"/>
    <w:pPr>
      <w:tabs>
        <w:tab w:val="center" w:pos="4153"/>
        <w:tab w:val="right" w:pos="8306"/>
      </w:tabs>
      <w:snapToGrid w:val="0"/>
      <w:jc w:val="left"/>
    </w:pPr>
    <w:rPr>
      <w:sz w:val="18"/>
      <w:szCs w:val="18"/>
    </w:rPr>
  </w:style>
  <w:style w:type="character" w:customStyle="1" w:styleId="Char0">
    <w:name w:val="页脚 Char"/>
    <w:basedOn w:val="a0"/>
    <w:link w:val="a4"/>
    <w:uiPriority w:val="99"/>
    <w:rsid w:val="004842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张红卫</cp:lastModifiedBy>
  <cp:revision>2</cp:revision>
  <dcterms:created xsi:type="dcterms:W3CDTF">2018-10-24T01:36:00Z</dcterms:created>
  <dcterms:modified xsi:type="dcterms:W3CDTF">2018-10-24T01:36:00Z</dcterms:modified>
</cp:coreProperties>
</file>